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AD" w:rsidRDefault="00C84CAD" w:rsidP="00C84C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-208280</wp:posOffset>
            </wp:positionV>
            <wp:extent cx="1695450" cy="1272540"/>
            <wp:effectExtent l="19050" t="0" r="0" b="0"/>
            <wp:wrapTight wrapText="bothSides">
              <wp:wrapPolygon edited="0">
                <wp:start x="-243" y="0"/>
                <wp:lineTo x="-243" y="21341"/>
                <wp:lineTo x="21600" y="21341"/>
                <wp:lineTo x="21600" y="0"/>
                <wp:lineTo x="-243" y="0"/>
              </wp:wrapPolygon>
            </wp:wrapTight>
            <wp:docPr id="1" name="Рисунок 1" descr="C:\Users\Наталья\Desktop\сайт\ak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айт\akv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0A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Создание предметно-развивающей </w:t>
      </w:r>
      <w:r w:rsidR="005550A1" w:rsidRPr="005550A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среды </w:t>
      </w:r>
    </w:p>
    <w:p w:rsidR="005550A1" w:rsidRPr="00C84CAD" w:rsidRDefault="005550A1" w:rsidP="00C84C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50A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центра иску</w:t>
      </w:r>
      <w:proofErr w:type="gramStart"/>
      <w:r w:rsidRPr="005550A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сств в гр</w:t>
      </w:r>
      <w:proofErr w:type="gramEnd"/>
      <w:r w:rsidRPr="005550A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уппе</w:t>
      </w:r>
      <w:r w:rsidR="001F1E0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по ФГОС</w:t>
      </w:r>
    </w:p>
    <w:bookmarkEnd w:id="0"/>
    <w:p w:rsidR="005550A1" w:rsidRDefault="005550A1" w:rsidP="00C84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r w:rsidRPr="005550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предметно-развивающая среда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как «система материальных объектов деятельности ребенка, функционально моделирующая содержание его духовного и физического развития»    (С.Л. Новоселова).  Предметно-развивающая среда должна способствовать реализации образовательных областей в образовательном процессе, включающем:   </w:t>
      </w:r>
    </w:p>
    <w:p w:rsidR="005550A1" w:rsidRPr="005550A1" w:rsidRDefault="005550A1" w:rsidP="00C84CA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совместную партнёрскую деятельность взрослого и детей;   </w:t>
      </w:r>
    </w:p>
    <w:p w:rsidR="005550A1" w:rsidRPr="005550A1" w:rsidRDefault="005550A1" w:rsidP="00C84CAD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свободную самостоятельную деятельность самих детей в условиях созданной педагогами предметно – развивающей образовательной среды, обеспечивающий выбор каждым ребёнком деятельности по интересам и позволяющей ему взаимодействовать со сверстниками или действовать индивидуально.   </w:t>
      </w:r>
    </w:p>
    <w:p w:rsidR="005550A1" w:rsidRDefault="005550A1" w:rsidP="005550A1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   Изобразительная деятельность — одна из самых любимых у детей.  Поэтому предметно – развивающая среда центра иску</w:t>
      </w:r>
      <w:proofErr w:type="gram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сств в гр</w:t>
      </w:r>
      <w:proofErr w:type="gram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уппе в современных условиях требует глубокого осмысления, оформления и пополнения с учётом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требований.  </w:t>
      </w:r>
    </w:p>
    <w:p w:rsidR="005550A1" w:rsidRDefault="005550A1" w:rsidP="005550A1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предметно-развивающей среды центра иску</w:t>
      </w:r>
      <w:proofErr w:type="gram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сств в гр</w:t>
      </w:r>
      <w:proofErr w:type="gram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уппе следует руководствоваться следующими принципами:  </w:t>
      </w:r>
    </w:p>
    <w:p w:rsidR="005550A1" w:rsidRDefault="005550A1" w:rsidP="005550A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>Полифункциональность</w:t>
      </w:r>
      <w:proofErr w:type="spellEnd"/>
      <w:r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среды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предметная развивающая среда центра должна открывать множество возможностей, обеспечивать все составляющие образовательного процесса, и в этом смысле должна быть многофункциональной. Таким образом, материалы и оборудование центра могут использоваться в совместной деятельности взрослого и детей,  в самостоятельной деятельности детей не только в рамках НОД, но и при проведении режимных моментов.  </w:t>
      </w:r>
    </w:p>
    <w:p w:rsidR="005550A1" w:rsidRDefault="005550A1" w:rsidP="005550A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>Трансформируемость</w:t>
      </w:r>
      <w:proofErr w:type="spellEnd"/>
      <w:r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среды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возможность изменений, позволяющих, по ситуации, вынести на первый план ту или иную функцию пространства.   Например, в ходе НОД с помощью маркеров пространства соответствующее оборудование и материалы центра искусств могут служить музеем, где дети могут пройти с экскурсией по залам живописи, скульптуры или декоративно- прикладного искусства.  А уже через несколько минут  с помощью маркеров пространства этот же центр превращается в площадку для сюжетно-ролевых игр художественно-творческого содержания в самостоятельной игровой деятельности детей.  Во второй половине дня здесь же могут заниматься дети по карточкам для индивидуальной работы или заниматься творчеством по интересам.  </w:t>
      </w:r>
    </w:p>
    <w:p w:rsidR="005550A1" w:rsidRDefault="005550A1" w:rsidP="005550A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>Вариативност</w:t>
      </w:r>
      <w:r w:rsidR="00C84CAD"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>ь</w:t>
      </w:r>
      <w:r w:rsidR="00C84C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4CAD"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среды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предполагающий конкретный вариант предметно-развивающей среды центра иску</w:t>
      </w:r>
      <w:proofErr w:type="gram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сств дл</w:t>
      </w:r>
      <w:proofErr w:type="gram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конкретной группы и возраста воспитанников данной группы. </w:t>
      </w:r>
    </w:p>
    <w:p w:rsidR="005550A1" w:rsidRDefault="005550A1" w:rsidP="005550A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Наполняемость и оформление </w:t>
      </w:r>
      <w:proofErr w:type="gram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="00C8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уголков  групп должны иметь свои варианты, в зависимости от возраста детей, периода обучения и возможностей помещения. В качестве ориентиров для подбора материала и оборудования должны выступать общие закономерности развития ребёнка на каждом возрастном этапе. Однако</w:t>
      </w:r>
      <w:proofErr w:type="gram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строиться все эти варианты будут вокруг единого стержня требований и 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рекомендаций.  Важно, чтобы предметная среда центра имела характер открытой, незамкнутой системы, способной к корректировке и развитию. Иначе говоря, среда должна быть 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  </w:t>
      </w:r>
    </w:p>
    <w:p w:rsidR="005550A1" w:rsidRDefault="005550A1" w:rsidP="005550A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FF0000"/>
          <w:sz w:val="28"/>
          <w:szCs w:val="28"/>
        </w:rPr>
        <w:t>Учёт интеграции образовательных областей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предполагает использование материала и оборудования данного центра в ходе реализации других областей. Например, центр искусств обязательно содержит игры по </w:t>
      </w:r>
      <w:proofErr w:type="spell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цветоведению</w:t>
      </w:r>
      <w:proofErr w:type="spell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Казалось бы, эти игры содержат узко специфическую направленность, однако, это не так. Игры по </w:t>
      </w:r>
      <w:proofErr w:type="spell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цветоведению</w:t>
      </w:r>
      <w:proofErr w:type="spell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гармонично вписываются во все образовательные области и могут быть использованы в непосредственной образовательной деятельности  по разным направлениям.  Они выполняют целый комплекс развивающих задач, так важных для формирования личности дошкольника. Игры по </w:t>
      </w:r>
      <w:proofErr w:type="spell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цветоведению</w:t>
      </w:r>
      <w:proofErr w:type="spell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и на развитие мелкой моторики рук, и на формирование элементарных математических представлений, и  выступают как средство познавательной активности воспитанников. </w:t>
      </w:r>
    </w:p>
    <w:p w:rsidR="005550A1" w:rsidRDefault="005550A1" w:rsidP="005550A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Или, например, репродукцию из подборки «Жанры живописи» можно использовать как наглядный материал для развития связной речи.    Учёт гендерной специфики – предполагает обеспечение среды центра, как общим материалом, так и специфичным материалом для мальчиков и девочек. Это могут быть подборки раскрасок, трафаретов, шаблонов, технологических карт последовательности выполнения изображения и лепки, карточки для индивидуальной работы для мальчиков и девочек.  </w:t>
      </w:r>
      <w:r w:rsidRPr="0055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0A1" w:rsidRPr="005550A1" w:rsidRDefault="005550A1" w:rsidP="005550A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 специфики национально-культурных условий.  При реализации вариативной части программы предметно – развивающая среда должна в количественном и качественном отношении отражать наличие приоритетных направлений, специфику национально – культурных, демографических, социально – экономических, климатических и других условий осуществления образовательного процесса. Переводя данную выдержку на центр искусств, мы можем, прежде всего, обратить </w:t>
      </w:r>
      <w:proofErr w:type="gramStart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оформление этой зоны группы используя национально – культурные мотивы (внешний дизайн, подбор предметов или иллюстраций народных промыслов, игры и тренажёры на мотивы узоров или промыслов народов края информационная, иллюстрированная  подборка о творчестве художников, скульпторах, архитекторах родного края).   Материалы и оборудование  центра должны создавать оптимально  насыщенную (без чрезмерного обилия и недостатка) целостную среду.  Следует систематически проводить анализ состояния  предметно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0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  среды центра с целью приведения её в соответствие с гигиеническими, педагогическими и эстетическими требованиями.    </w:t>
      </w:r>
      <w:r w:rsidRPr="0055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4CAD" w:rsidRDefault="00C84CAD" w:rsidP="00555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84CAD" w:rsidRDefault="00C84CAD" w:rsidP="00555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84CAD" w:rsidRDefault="00C84CAD" w:rsidP="00555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84CAD" w:rsidRDefault="00C84CAD" w:rsidP="00555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550A1" w:rsidRPr="00C84CAD" w:rsidRDefault="00C84CAD" w:rsidP="005550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35560</wp:posOffset>
            </wp:positionV>
            <wp:extent cx="2232660" cy="2308860"/>
            <wp:effectExtent l="0" t="0" r="0" b="0"/>
            <wp:wrapTight wrapText="bothSides">
              <wp:wrapPolygon edited="0">
                <wp:start x="12901" y="2139"/>
                <wp:lineTo x="11795" y="2673"/>
                <wp:lineTo x="10689" y="4099"/>
                <wp:lineTo x="10689" y="4990"/>
                <wp:lineTo x="2212" y="5525"/>
                <wp:lineTo x="2949" y="10693"/>
                <wp:lineTo x="3502" y="13545"/>
                <wp:lineTo x="2027" y="18891"/>
                <wp:lineTo x="2396" y="19248"/>
                <wp:lineTo x="5713" y="19248"/>
                <wp:lineTo x="5713" y="19960"/>
                <wp:lineTo x="14375" y="19960"/>
                <wp:lineTo x="17877" y="19960"/>
                <wp:lineTo x="18061" y="19960"/>
                <wp:lineTo x="19352" y="19248"/>
                <wp:lineTo x="19720" y="16574"/>
                <wp:lineTo x="19720" y="16396"/>
                <wp:lineTo x="18799" y="13723"/>
                <wp:lineTo x="18799" y="13545"/>
                <wp:lineTo x="18061" y="11050"/>
                <wp:lineTo x="17877" y="10693"/>
                <wp:lineTo x="16956" y="7842"/>
                <wp:lineTo x="17877" y="5525"/>
                <wp:lineTo x="17877" y="4099"/>
                <wp:lineTo x="16403" y="2317"/>
                <wp:lineTo x="15481" y="2139"/>
                <wp:lineTo x="12901" y="2139"/>
              </wp:wrapPolygon>
            </wp:wrapTight>
            <wp:docPr id="3" name="Рисунок 2" descr="C:\Users\Наталья\Desktop\сайт\risuyu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айт\risuyu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0A1" w:rsidRPr="00C84CA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Особенности оформления уголков  </w:t>
      </w:r>
      <w:proofErr w:type="spellStart"/>
      <w:r w:rsidR="005550A1" w:rsidRPr="00C84CA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изодеятельности</w:t>
      </w:r>
      <w:proofErr w:type="spellEnd"/>
      <w:r w:rsidR="005550A1" w:rsidRPr="00C84CA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в группах ДОУ  </w:t>
      </w:r>
    </w:p>
    <w:p w:rsidR="005550A1" w:rsidRPr="005550A1" w:rsidRDefault="005550A1" w:rsidP="005550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Цель:</w:t>
      </w: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   Для того</w:t>
      </w:r>
      <w:proofErr w:type="gramStart"/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уголок </w:t>
      </w:r>
      <w:proofErr w:type="spellStart"/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изодеятельности</w:t>
      </w:r>
      <w:proofErr w:type="spellEnd"/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действительно стал центром детского творчества необходимо обратить внимание на условия его оформления и оснащения, а именно:  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расположение зоны изобразительного творчества: доступность, эстетичность оформления, универсальность, подвижность, наличие маркеров пространства;   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использование детского дизайна в оформлении;  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наличие игрового персонажа;  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изобразительный материал: разнообразие, возрастные требования, доступность, удобство хранения и использования;   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оборудование для рисования (в том числе нетрадиционного), лепки, аппликации, ведро и тряпочка для уборки рабочего места;   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работа с цветом (учебно-наглядный материал, дидактические игры);  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 с линией (учебно-наглядный материал, дидактические игры);  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различная техника изобразительного творчества (образцы); 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композиционных умений, ритма (учебно-наглядный материал, дидактические игры);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знакомство с народно-прикладным искусством (учебно-наглядный материал, дидактические игры); 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жанры живописи, портреты художников, стили архитектуры, книжная графика         с учётом возраста детей;  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образцы из глины  (игрушки, предметы народного промысла возможны мини-музеи); 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уголок художественного ручного труда  (образцы тканей, швов, нити, ленты, пяльцы для вышивания, цветные салфетки и др. материал); 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наличие технологических карт, схем последовательности рисования,  лепки, аппликации с учётом возрастной и гендерной специфики;  </w:t>
      </w:r>
    </w:p>
    <w:p w:rsidR="005550A1" w:rsidRPr="005550A1" w:rsidRDefault="005550A1" w:rsidP="005550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0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перспективных планов с обеспечением интеграции и преемственности содержания.</w:t>
      </w:r>
    </w:p>
    <w:p w:rsidR="005550A1" w:rsidRPr="00C84CAD" w:rsidRDefault="005550A1" w:rsidP="00C84CA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Консультацию подготовил</w:t>
      </w:r>
      <w:r w:rsidR="005E6E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84CAD"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руководитель </w:t>
      </w: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proofErr w:type="spellStart"/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изодеятельности</w:t>
      </w:r>
      <w:proofErr w:type="spellEnd"/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84CAD" w:rsidRPr="00C84CAD" w:rsidRDefault="00C84CAD" w:rsidP="00C84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CAD">
        <w:rPr>
          <w:rFonts w:ascii="Times New Roman" w:eastAsia="Times New Roman" w:hAnsi="Times New Roman" w:cs="Times New Roman"/>
          <w:sz w:val="28"/>
          <w:szCs w:val="28"/>
        </w:rPr>
        <w:t>Поминова М</w:t>
      </w:r>
      <w:r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84C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E5EAD" w:rsidRDefault="006E5EAD" w:rsidP="00C84CAD">
      <w:pPr>
        <w:spacing w:after="0"/>
      </w:pPr>
    </w:p>
    <w:sectPr w:rsidR="006E5EAD" w:rsidSect="005550A1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0C8"/>
    <w:multiLevelType w:val="multilevel"/>
    <w:tmpl w:val="A9AE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3382E"/>
    <w:multiLevelType w:val="hybridMultilevel"/>
    <w:tmpl w:val="F6DC05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0A1"/>
    <w:rsid w:val="0005107E"/>
    <w:rsid w:val="001F1E0D"/>
    <w:rsid w:val="005550A1"/>
    <w:rsid w:val="005E6E5C"/>
    <w:rsid w:val="006E5EAD"/>
    <w:rsid w:val="00AB4855"/>
    <w:rsid w:val="00C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E"/>
  </w:style>
  <w:style w:type="paragraph" w:styleId="2">
    <w:name w:val="heading 2"/>
    <w:basedOn w:val="a"/>
    <w:link w:val="20"/>
    <w:uiPriority w:val="9"/>
    <w:qFormat/>
    <w:rsid w:val="0055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50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5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0A1"/>
    <w:rPr>
      <w:color w:val="0000FF"/>
      <w:u w:val="single"/>
    </w:rPr>
  </w:style>
  <w:style w:type="character" w:styleId="a6">
    <w:name w:val="Emphasis"/>
    <w:basedOn w:val="a0"/>
    <w:uiPriority w:val="20"/>
    <w:qFormat/>
    <w:rsid w:val="005550A1"/>
    <w:rPr>
      <w:i/>
      <w:iCs/>
    </w:rPr>
  </w:style>
  <w:style w:type="character" w:customStyle="1" w:styleId="meta-nav">
    <w:name w:val="meta-nav"/>
    <w:basedOn w:val="a0"/>
    <w:rsid w:val="005550A1"/>
  </w:style>
  <w:style w:type="paragraph" w:styleId="a7">
    <w:name w:val="Balloon Text"/>
    <w:basedOn w:val="a"/>
    <w:link w:val="a8"/>
    <w:uiPriority w:val="99"/>
    <w:semiHidden/>
    <w:unhideWhenUsed/>
    <w:rsid w:val="0055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0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2016-04-10T17:47:00Z</dcterms:created>
  <dcterms:modified xsi:type="dcterms:W3CDTF">2016-04-12T13:32:00Z</dcterms:modified>
</cp:coreProperties>
</file>